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DE8" w:rsidRDefault="00282812">
      <w:r>
        <w:rPr>
          <w:rFonts w:eastAsia="Times New Roman"/>
          <w:b/>
        </w:rPr>
        <w:t xml:space="preserve">РЕЙТИНГ </w:t>
      </w:r>
      <w:r w:rsidR="00E34DAA">
        <w:rPr>
          <w:rFonts w:eastAsia="Times New Roman"/>
          <w:b/>
          <w:lang w:val="kk-KZ"/>
        </w:rPr>
        <w:t>2</w:t>
      </w:r>
      <w:r>
        <w:rPr>
          <w:rFonts w:eastAsia="Times New Roman"/>
          <w:b/>
        </w:rPr>
        <w:t xml:space="preserve">   ЗАДАНИЕ 2</w:t>
      </w:r>
      <w:bookmarkStart w:id="0" w:name="_GoBack"/>
      <w:bookmarkEnd w:id="0"/>
    </w:p>
    <w:p w:rsidR="00807DE8" w:rsidRPr="00E34DAA" w:rsidRDefault="00282812" w:rsidP="00E34DAA">
      <w:pPr>
        <w:pStyle w:val="aa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Учет оборудования и проверка имущества</w:t>
      </w:r>
    </w:p>
    <w:p w:rsidR="00807DE8" w:rsidRPr="00E34DAA" w:rsidRDefault="00282812" w:rsidP="00E34DAA">
      <w:pPr>
        <w:pStyle w:val="1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Цель задания</w:t>
      </w: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 xml:space="preserve">Рассчитать стоимость оборудования, отразить приобретение и расчеты, определить амортизацию и обесценение и предложить действия при инвентаризационном расхождении. </w:t>
      </w:r>
    </w:p>
    <w:p w:rsidR="00807DE8" w:rsidRPr="00E34DAA" w:rsidRDefault="00282812" w:rsidP="00E34DAA">
      <w:pPr>
        <w:pStyle w:val="1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Исходные данные</w:t>
      </w: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 xml:space="preserve">Государственное учреждение финансируется из республиканского бюджета. В мае 2026 года оно приобрело оборудование для оказания бесплатных общественных услуг. Все суммы — в тысячах тенге; возмещаемого НДС нет. Начальных </w:t>
      </w:r>
      <w:r w:rsidRPr="00E34DAA">
        <w:rPr>
          <w:rFonts w:eastAsia="Times New Roman"/>
          <w:lang w:val="ru-RU"/>
        </w:rPr>
        <w:t>остатков по новой покупке нет.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7767"/>
        <w:gridCol w:w="1701"/>
      </w:tblGrid>
      <w:tr w:rsidR="00807DE8" w:rsidRPr="00E34DAA">
        <w:trPr>
          <w:cantSplit/>
          <w:tblHeader/>
        </w:trPr>
        <w:tc>
          <w:tcPr>
            <w:tcW w:w="7767" w:type="dxa"/>
            <w:shd w:val="clear" w:color="auto" w:fill="E7EFF5"/>
            <w:vAlign w:val="center"/>
          </w:tcPr>
          <w:p w:rsidR="00807DE8" w:rsidRPr="00E34DAA" w:rsidRDefault="00282812" w:rsidP="00E34DA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b/>
                <w:lang w:val="ru-RU"/>
              </w:rPr>
              <w:t>Элемент приобретения</w:t>
            </w:r>
          </w:p>
        </w:tc>
        <w:tc>
          <w:tcPr>
            <w:tcW w:w="1701" w:type="dxa"/>
            <w:shd w:val="clear" w:color="auto" w:fill="E7EFF5"/>
            <w:vAlign w:val="center"/>
          </w:tcPr>
          <w:p w:rsidR="00807DE8" w:rsidRPr="00E34DAA" w:rsidRDefault="00282812" w:rsidP="00E34DA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b/>
                <w:lang w:val="ru-RU"/>
              </w:rPr>
              <w:t>Сумма</w:t>
            </w:r>
          </w:p>
        </w:tc>
      </w:tr>
      <w:tr w:rsidR="00807DE8" w:rsidRPr="00E34DAA">
        <w:trPr>
          <w:cantSplit/>
        </w:trPr>
        <w:tc>
          <w:tcPr>
            <w:tcW w:w="7767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Цена оборудования</w:t>
            </w:r>
          </w:p>
        </w:tc>
        <w:tc>
          <w:tcPr>
            <w:tcW w:w="1701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3 200</w:t>
            </w:r>
          </w:p>
        </w:tc>
      </w:tr>
      <w:tr w:rsidR="00807DE8" w:rsidRPr="00E34DAA">
        <w:trPr>
          <w:cantSplit/>
        </w:trPr>
        <w:tc>
          <w:tcPr>
            <w:tcW w:w="7767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Доставка</w:t>
            </w:r>
          </w:p>
        </w:tc>
        <w:tc>
          <w:tcPr>
            <w:tcW w:w="1701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200</w:t>
            </w:r>
          </w:p>
        </w:tc>
      </w:tr>
      <w:tr w:rsidR="00807DE8" w:rsidRPr="00E34DAA">
        <w:trPr>
          <w:cantSplit/>
        </w:trPr>
        <w:tc>
          <w:tcPr>
            <w:tcW w:w="7767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Обязательный монтаж и наладка</w:t>
            </w:r>
          </w:p>
        </w:tc>
        <w:tc>
          <w:tcPr>
            <w:tcW w:w="1701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200</w:t>
            </w:r>
          </w:p>
        </w:tc>
      </w:tr>
      <w:tr w:rsidR="00807DE8" w:rsidRPr="00E34DAA">
        <w:trPr>
          <w:cantSplit/>
        </w:trPr>
        <w:tc>
          <w:tcPr>
            <w:tcW w:w="7767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Отдельное обучение работников</w:t>
            </w:r>
          </w:p>
        </w:tc>
        <w:tc>
          <w:tcPr>
            <w:tcW w:w="1701" w:type="dxa"/>
            <w:vAlign w:val="center"/>
          </w:tcPr>
          <w:p w:rsidR="00807DE8" w:rsidRPr="00E34DAA" w:rsidRDefault="00282812" w:rsidP="00E34DA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E34DAA">
              <w:rPr>
                <w:rFonts w:eastAsia="Times New Roman"/>
                <w:lang w:val="ru-RU"/>
              </w:rPr>
              <w:t>120</w:t>
            </w:r>
          </w:p>
        </w:tc>
      </w:tr>
    </w:tbl>
    <w:p w:rsidR="00807DE8" w:rsidRPr="00E34DAA" w:rsidRDefault="00807DE8" w:rsidP="00E34DAA">
      <w:pPr>
        <w:spacing w:after="0" w:line="72" w:lineRule="auto"/>
        <w:jc w:val="both"/>
        <w:rPr>
          <w:lang w:val="ru-RU"/>
        </w:rPr>
      </w:pP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 xml:space="preserve">Цена, доставка и монтаж предъявлены одним поставщиком. Оборудование готово к </w:t>
      </w:r>
      <w:r w:rsidRPr="00E34DAA">
        <w:rPr>
          <w:rFonts w:eastAsia="Times New Roman"/>
          <w:lang w:val="ru-RU"/>
        </w:rPr>
        <w:t>использованию 31 мая. К 30 сентября этому поставщику перечислено 3 000 за счет капитальных вложений. Обучение проведено другой организацией, полностью получено и оплачено отдельно за счет текущего обеспечения.</w:t>
      </w: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 xml:space="preserve">Для расчета заданы четыре полных месяца </w:t>
      </w:r>
      <w:r w:rsidRPr="00E34DAA">
        <w:rPr>
          <w:rFonts w:eastAsia="Times New Roman"/>
          <w:lang w:val="ru-RU"/>
        </w:rPr>
        <w:t>амортизации — июнь–сентябрь. Годовая норма — 20%, метод равномерный, ликвидационная стоимость — ноль. Ранее амортизация по этому оборудованию не начислялась. Для отдельной оценки по МСФО ОС 21 на 30 сентября справедливая стоимость за вычетом затрат на прод</w:t>
      </w:r>
      <w:r w:rsidRPr="00E34DAA">
        <w:rPr>
          <w:rFonts w:eastAsia="Times New Roman"/>
          <w:lang w:val="ru-RU"/>
        </w:rPr>
        <w:t>ажу — 2 700, ценность использования через оставшийся сервисный потенциал — 3 000.</w:t>
      </w: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>При инвентаризации другого имущества в карточках отражены шесть ранее приобретенных ноутбуков по балансовой стоимости 150 каждый. Фактически обнаружены пять. Документы о пере</w:t>
      </w:r>
      <w:r w:rsidRPr="00E34DAA">
        <w:rPr>
          <w:rFonts w:eastAsia="Times New Roman"/>
          <w:lang w:val="ru-RU"/>
        </w:rPr>
        <w:t>даче шестого ноутбука отсутствуют, причина расхождения и ответственное лицо не установлены. Эти ноутбуки не включаются в расчет стоимости нового оборудования.</w:t>
      </w:r>
    </w:p>
    <w:p w:rsidR="00807DE8" w:rsidRPr="00E34DAA" w:rsidRDefault="00282812" w:rsidP="00E34DAA">
      <w:pPr>
        <w:pStyle w:val="1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Что необходимо выполнить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t>1. Определите первоначальную стоимость нового оборудования. Отдельно ука</w:t>
      </w:r>
      <w:r w:rsidRPr="00E34DAA">
        <w:rPr>
          <w:rFonts w:eastAsia="Times New Roman"/>
          <w:lang w:val="ru-RU"/>
        </w:rPr>
        <w:t>жите сумму расходов на обучение и объясните различие в учете этих затрат.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t>2. Составьте журнал записей по признанию оборудования, частичной оплате поставщику, получению и оплате обучения и начислению амортизации. Укажите содержание, дебет, кредит и сумму. Д</w:t>
      </w:r>
      <w:r w:rsidRPr="00E34DAA">
        <w:rPr>
          <w:rFonts w:eastAsia="Times New Roman"/>
          <w:lang w:val="ru-RU"/>
        </w:rPr>
        <w:t>ля счетов, номер которых не раскрыт в лекциях, допустимо экономическое наименование. Определите остаток долга поставщику оборудования.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t>3. Рассчитайте годовую и месячную амортизацию, амортизацию за четыре месяца и балансовую стоимость до проверки обесценени</w:t>
      </w:r>
      <w:r w:rsidRPr="00E34DAA">
        <w:rPr>
          <w:rFonts w:eastAsia="Times New Roman"/>
          <w:lang w:val="ru-RU"/>
        </w:rPr>
        <w:t>я.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lastRenderedPageBreak/>
        <w:t>4. По МСФО ОС 21 определите возмещаемую стоимость услуг, убыток от обесценения и стоимость оборудования после его признания. Этот расчет представьте отдельно от национальных записей. Объясните отличие обесценения от амортизации.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t>5. Определите количество</w:t>
      </w:r>
      <w:r w:rsidRPr="00E34DAA">
        <w:rPr>
          <w:rFonts w:eastAsia="Times New Roman"/>
          <w:lang w:val="ru-RU"/>
        </w:rPr>
        <w:t xml:space="preserve"> и учетную стоимость имущества, наличие которого не подтверждено. Опишите порядок выяснения причин и документы комиссии. Объясните, достаточно ли одного расхождения для удержания суммы из заработной платы работника.</w:t>
      </w:r>
    </w:p>
    <w:p w:rsidR="00807DE8" w:rsidRPr="00E34DAA" w:rsidRDefault="00282812" w:rsidP="00E34DAA">
      <w:pPr>
        <w:keepLines/>
        <w:jc w:val="both"/>
        <w:rPr>
          <w:lang w:val="ru-RU"/>
        </w:rPr>
      </w:pPr>
      <w:r w:rsidRPr="00E34DAA">
        <w:rPr>
          <w:rFonts w:eastAsia="Times New Roman"/>
          <w:lang w:val="ru-RU"/>
        </w:rPr>
        <w:t>6. Предложите три процедуры контроля: пр</w:t>
      </w:r>
      <w:r w:rsidRPr="00E34DAA">
        <w:rPr>
          <w:rFonts w:eastAsia="Times New Roman"/>
          <w:lang w:val="ru-RU"/>
        </w:rPr>
        <w:t>и приемке, перед окончательной оплатой и при ведении инвентарных карточек в программе. Для каждой укажите проверяемые данные и документальное подтверждение выполнения.</w:t>
      </w:r>
    </w:p>
    <w:p w:rsidR="00807DE8" w:rsidRPr="00E34DAA" w:rsidRDefault="00282812" w:rsidP="00E34DAA">
      <w:pPr>
        <w:pStyle w:val="1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Результат выполнения</w:t>
      </w:r>
    </w:p>
    <w:p w:rsidR="00807DE8" w:rsidRPr="00E34DAA" w:rsidRDefault="00282812" w:rsidP="00E34DAA">
      <w:pPr>
        <w:jc w:val="both"/>
        <w:rPr>
          <w:lang w:val="ru-RU"/>
        </w:rPr>
      </w:pPr>
      <w:r w:rsidRPr="00E34DAA">
        <w:rPr>
          <w:rFonts w:eastAsia="Times New Roman"/>
          <w:lang w:val="ru-RU"/>
        </w:rPr>
        <w:t>Представьте расчеты стоимости и амортизации, журнал записей, отдель</w:t>
      </w:r>
      <w:r w:rsidRPr="00E34DAA">
        <w:rPr>
          <w:rFonts w:eastAsia="Times New Roman"/>
          <w:lang w:val="ru-RU"/>
        </w:rPr>
        <w:t>ный расчет обесценения и краткое заключение по инвентаризации и контролю. Округляйте расчетные суммы до двух знаков после запятой.</w:t>
      </w:r>
    </w:p>
    <w:p w:rsidR="00807DE8" w:rsidRPr="00E34DAA" w:rsidRDefault="00807DE8" w:rsidP="00E34DAA">
      <w:pPr>
        <w:spacing w:after="0" w:line="72" w:lineRule="auto"/>
        <w:jc w:val="both"/>
        <w:rPr>
          <w:lang w:val="ru-RU"/>
        </w:rPr>
      </w:pPr>
    </w:p>
    <w:p w:rsidR="00807DE8" w:rsidRPr="00E34DAA" w:rsidRDefault="00282812" w:rsidP="00E34DAA">
      <w:pPr>
        <w:pStyle w:val="1"/>
        <w:jc w:val="both"/>
        <w:rPr>
          <w:lang w:val="ru-RU"/>
        </w:rPr>
      </w:pPr>
      <w:r w:rsidRPr="00E34DAA">
        <w:rPr>
          <w:rFonts w:ascii="Times New Roman" w:eastAsia="Times New Roman" w:hAnsi="Times New Roman"/>
          <w:lang w:val="ru-RU"/>
        </w:rPr>
        <w:t>Материалы для выполнения</w:t>
      </w:r>
    </w:p>
    <w:p w:rsidR="00807DE8" w:rsidRPr="00E34DAA" w:rsidRDefault="00282812" w:rsidP="00E34DAA">
      <w:pPr>
        <w:spacing w:after="40"/>
        <w:jc w:val="both"/>
        <w:rPr>
          <w:lang w:val="ru-RU"/>
        </w:rPr>
      </w:pPr>
      <w:hyperlink r:id="rId8">
        <w:r w:rsidRPr="00E34DAA">
          <w:rPr>
            <w:lang w:val="ru-RU"/>
          </w:rPr>
          <w:t>План счетов государственных учреждений от 16 апреля 2025 года № 170.</w:t>
        </w:r>
      </w:hyperlink>
    </w:p>
    <w:p w:rsidR="00807DE8" w:rsidRPr="00E34DAA" w:rsidRDefault="00282812" w:rsidP="00E34DAA">
      <w:pPr>
        <w:spacing w:after="40"/>
        <w:jc w:val="both"/>
        <w:rPr>
          <w:lang w:val="ru-RU"/>
        </w:rPr>
      </w:pPr>
      <w:hyperlink r:id="rId9">
        <w:r w:rsidRPr="00E34DAA">
          <w:rPr>
            <w:lang w:val="ru-RU"/>
          </w:rPr>
          <w:t>Правила инвентаризации от 16 апреля 2025 года № 169.</w:t>
        </w:r>
      </w:hyperlink>
    </w:p>
    <w:p w:rsidR="00807DE8" w:rsidRPr="00E34DAA" w:rsidRDefault="00282812" w:rsidP="00E34DAA">
      <w:pPr>
        <w:spacing w:after="40"/>
        <w:jc w:val="both"/>
        <w:rPr>
          <w:lang w:val="ru-RU"/>
        </w:rPr>
      </w:pPr>
      <w:hyperlink r:id="rId10">
        <w:r w:rsidRPr="00E34DAA">
          <w:rPr>
            <w:lang w:val="ru-RU"/>
          </w:rPr>
          <w:t>МСФО ОС 21, 45 и 46 — сборник IPSASB 2026 года.</w:t>
        </w:r>
      </w:hyperlink>
    </w:p>
    <w:sectPr w:rsidR="00807DE8" w:rsidRPr="00E34DAA" w:rsidSect="00034616">
      <w:footerReference w:type="default" r:id="rId11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812" w:rsidRDefault="00282812">
      <w:pPr>
        <w:spacing w:after="0" w:line="240" w:lineRule="auto"/>
      </w:pPr>
      <w:r>
        <w:separator/>
      </w:r>
    </w:p>
  </w:endnote>
  <w:endnote w:type="continuationSeparator" w:id="0">
    <w:p w:rsidR="00282812" w:rsidRDefault="002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746" w:rsidRDefault="004D7EE4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28281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812" w:rsidRDefault="00282812">
      <w:pPr>
        <w:spacing w:after="0" w:line="240" w:lineRule="auto"/>
      </w:pPr>
      <w:r>
        <w:separator/>
      </w:r>
    </w:p>
  </w:footnote>
  <w:footnote w:type="continuationSeparator" w:id="0">
    <w:p w:rsidR="00282812" w:rsidRDefault="00282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2812"/>
    <w:rsid w:val="0029639D"/>
    <w:rsid w:val="002D0746"/>
    <w:rsid w:val="00326F90"/>
    <w:rsid w:val="004D7EE4"/>
    <w:rsid w:val="00807DE8"/>
    <w:rsid w:val="00AA1D8D"/>
    <w:rsid w:val="00B47730"/>
    <w:rsid w:val="00C4687A"/>
    <w:rsid w:val="00CB0664"/>
    <w:rsid w:val="00E34D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E596D"/>
  <w14:defaultImageDpi w14:val="300"/>
  <w15:docId w15:val="{56046AEB-3F5A-48F4-BC2F-1E74041B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9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G25E00001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psasb.org/publications/2026-handbook-international-public-sector-accounting-standards-board-pronouncem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01B504-39A1-49DD-8383-5ABED47CB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>Учет оборудования и проверка имущества</vt:lpstr>
      <vt:lpstr>Цель задания</vt:lpstr>
      <vt:lpstr>Исходные данные</vt:lpstr>
      <vt:lpstr>Что необходимо выполнить</vt:lpstr>
      <vt:lpstr>Результат выполнения</vt:lpstr>
      <vt:lpstr>Материалы для выполнения</vt:lpstr>
      <vt:lpstr/>
    </vt:vector>
  </TitlesOfParts>
  <Manager/>
  <Company/>
  <LinksUpToDate>false</LinksUpToDate>
  <CharactersWithSpaces>3599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оборудования и проверка имущества</dc:title>
  <dc:subject>Бухгалтерский учет в бюджетных организациях — рейтинг 1, задание 2</dc:subject>
  <dc:creator>Гульжан Байтикенова</dc:creator>
  <cp:keywords>Казахстан; государственные учреждения; учет; лекции; 2026</cp:keywords>
  <dc:description/>
  <cp:lastModifiedBy>Гульжан Байтикенова</cp:lastModifiedBy>
  <cp:revision>2</cp:revision>
  <dcterms:created xsi:type="dcterms:W3CDTF">2026-10-27T13:08:00Z</dcterms:created>
  <dcterms:modified xsi:type="dcterms:W3CDTF">2026-10-27T13:08:00Z</dcterms:modified>
  <cp:category/>
</cp:coreProperties>
</file>